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5C1BD" w14:textId="0457CC77" w:rsidR="00E84013" w:rsidRDefault="00F32167" w:rsidP="00F32167">
      <w:pPr>
        <w:pStyle w:val="Titre1"/>
        <w:jc w:val="center"/>
      </w:pPr>
      <w:bookmarkStart w:id="0" w:name="_GoBack"/>
      <w:bookmarkEnd w:id="0"/>
      <w:r>
        <w:t xml:space="preserve">Loi </w:t>
      </w:r>
      <w:proofErr w:type="spellStart"/>
      <w:r>
        <w:t>n°2023-1322</w:t>
      </w:r>
      <w:proofErr w:type="spellEnd"/>
      <w:r>
        <w:t xml:space="preserve"> du 29 décembre 2023 de finances pour 2024</w:t>
      </w:r>
    </w:p>
    <w:p w14:paraId="62EAA5B7" w14:textId="1D43F0AF" w:rsidR="00F32167" w:rsidRDefault="00F32167" w:rsidP="00F32167">
      <w:pPr>
        <w:pStyle w:val="Titre2"/>
        <w:jc w:val="center"/>
      </w:pPr>
      <w:r>
        <w:t>Dispositions concernant le secteur associatif</w:t>
      </w:r>
    </w:p>
    <w:p w14:paraId="02A14461" w14:textId="77777777" w:rsidR="00F32167" w:rsidRDefault="00F32167" w:rsidP="00F32167"/>
    <w:tbl>
      <w:tblPr>
        <w:tblStyle w:val="Grilledutableau"/>
        <w:tblW w:w="0" w:type="auto"/>
        <w:tblLook w:val="04A0" w:firstRow="1" w:lastRow="0" w:firstColumn="1" w:lastColumn="0" w:noHBand="0" w:noVBand="1"/>
      </w:tblPr>
      <w:tblGrid>
        <w:gridCol w:w="4390"/>
        <w:gridCol w:w="2126"/>
        <w:gridCol w:w="7478"/>
      </w:tblGrid>
      <w:tr w:rsidR="00F32167" w14:paraId="0F137E84" w14:textId="77777777" w:rsidTr="00EB54EA">
        <w:tc>
          <w:tcPr>
            <w:tcW w:w="4390" w:type="dxa"/>
            <w:tcBorders>
              <w:bottom w:val="single" w:sz="4" w:space="0" w:color="auto"/>
            </w:tcBorders>
          </w:tcPr>
          <w:p w14:paraId="035DBC27" w14:textId="3F19F813" w:rsidR="00F32167" w:rsidRPr="00F32167" w:rsidRDefault="00F32167" w:rsidP="00F32167">
            <w:pPr>
              <w:jc w:val="center"/>
              <w:rPr>
                <w:b/>
                <w:bCs/>
              </w:rPr>
            </w:pPr>
            <w:r>
              <w:rPr>
                <w:b/>
                <w:bCs/>
              </w:rPr>
              <w:t>Thématiques</w:t>
            </w:r>
          </w:p>
          <w:p w14:paraId="1F5E11AD" w14:textId="77777777" w:rsidR="00F32167" w:rsidRPr="00F32167" w:rsidRDefault="00F32167" w:rsidP="00F32167">
            <w:pPr>
              <w:jc w:val="center"/>
              <w:rPr>
                <w:b/>
                <w:bCs/>
              </w:rPr>
            </w:pPr>
          </w:p>
        </w:tc>
        <w:tc>
          <w:tcPr>
            <w:tcW w:w="2126" w:type="dxa"/>
            <w:tcBorders>
              <w:bottom w:val="single" w:sz="4" w:space="0" w:color="auto"/>
            </w:tcBorders>
          </w:tcPr>
          <w:p w14:paraId="76D8DACF" w14:textId="54C6E0F4" w:rsidR="00F32167" w:rsidRPr="00F32167" w:rsidRDefault="00F32167" w:rsidP="00F32167">
            <w:pPr>
              <w:jc w:val="center"/>
              <w:rPr>
                <w:b/>
                <w:bCs/>
              </w:rPr>
            </w:pPr>
            <w:r>
              <w:rPr>
                <w:b/>
                <w:bCs/>
              </w:rPr>
              <w:t>Numéro d’article</w:t>
            </w:r>
          </w:p>
        </w:tc>
        <w:tc>
          <w:tcPr>
            <w:tcW w:w="7478" w:type="dxa"/>
            <w:tcBorders>
              <w:bottom w:val="single" w:sz="4" w:space="0" w:color="auto"/>
            </w:tcBorders>
          </w:tcPr>
          <w:p w14:paraId="784F238B" w14:textId="6722DA34" w:rsidR="00F32167" w:rsidRPr="00F32167" w:rsidRDefault="00F32167" w:rsidP="00F32167">
            <w:pPr>
              <w:jc w:val="center"/>
              <w:rPr>
                <w:b/>
                <w:bCs/>
              </w:rPr>
            </w:pPr>
            <w:r>
              <w:rPr>
                <w:b/>
                <w:bCs/>
              </w:rPr>
              <w:t>Mesures</w:t>
            </w:r>
          </w:p>
        </w:tc>
      </w:tr>
      <w:tr w:rsidR="00F32167" w14:paraId="416DDE64" w14:textId="77777777" w:rsidTr="00BE6C8D">
        <w:tc>
          <w:tcPr>
            <w:tcW w:w="13994" w:type="dxa"/>
            <w:gridSpan w:val="3"/>
          </w:tcPr>
          <w:p w14:paraId="10B66C85" w14:textId="71137719" w:rsidR="00DA0431" w:rsidRPr="00DA0431" w:rsidRDefault="00DA0431" w:rsidP="00DA0431">
            <w:pPr>
              <w:pStyle w:val="Titre3"/>
              <w:outlineLvl w:val="2"/>
            </w:pPr>
            <w:proofErr w:type="spellStart"/>
            <w:r>
              <w:t>REDUCTION</w:t>
            </w:r>
            <w:proofErr w:type="spellEnd"/>
            <w:r>
              <w:t xml:space="preserve"> D’</w:t>
            </w:r>
            <w:proofErr w:type="spellStart"/>
            <w:r>
              <w:t>IMPOT</w:t>
            </w:r>
            <w:proofErr w:type="spellEnd"/>
          </w:p>
        </w:tc>
      </w:tr>
      <w:tr w:rsidR="00F32167" w14:paraId="1B29C962" w14:textId="77777777" w:rsidTr="00DA0431">
        <w:tc>
          <w:tcPr>
            <w:tcW w:w="4390" w:type="dxa"/>
          </w:tcPr>
          <w:p w14:paraId="2EF98562" w14:textId="40C68E0F" w:rsidR="00F32167" w:rsidRDefault="00F32167" w:rsidP="00F32167">
            <w:r>
              <w:t>Taux majoré de réduction d’impôt pour les d</w:t>
            </w:r>
            <w:r w:rsidRPr="00F32167">
              <w:t xml:space="preserve">ons </w:t>
            </w:r>
            <w:r>
              <w:t xml:space="preserve">effectués </w:t>
            </w:r>
            <w:r w:rsidRPr="00F32167">
              <w:t>aux OSBL s’occupant de personnes en difficulté</w:t>
            </w:r>
          </w:p>
        </w:tc>
        <w:tc>
          <w:tcPr>
            <w:tcW w:w="2126" w:type="dxa"/>
          </w:tcPr>
          <w:p w14:paraId="357EDF63" w14:textId="6753914F" w:rsidR="00F32167" w:rsidRDefault="00F32167" w:rsidP="00F32167">
            <w:r>
              <w:t>Article 15</w:t>
            </w:r>
          </w:p>
        </w:tc>
        <w:tc>
          <w:tcPr>
            <w:tcW w:w="7478" w:type="dxa"/>
          </w:tcPr>
          <w:p w14:paraId="5F4CAA2F" w14:textId="145C7287" w:rsidR="00F32167" w:rsidRDefault="00F32167" w:rsidP="00DA0431">
            <w:pPr>
              <w:jc w:val="both"/>
            </w:pPr>
            <w:r w:rsidRPr="00F32167">
              <w:t>Prolongation pour la période de 2023 à 2026 de l’application du taux majoré de 75 % de réduction d’impôt, dans la limite d’un plafond de 1 000 euros, aux dons effectués au profit d'organismes sans but lucratif qui procèdent à la fourniture gratuite de repas à des personnes en difficulté, qui contribuent à favoriser leur logement ou qui procèdent, à titre principal, à la fourniture gratuite des soins mentionnés au 1° du 4 de l'article 261 à des personnes en</w:t>
            </w:r>
            <w:r>
              <w:t xml:space="preserve"> difficulté</w:t>
            </w:r>
            <w:r w:rsidR="00EB54EA">
              <w:t>.</w:t>
            </w:r>
          </w:p>
        </w:tc>
      </w:tr>
      <w:tr w:rsidR="00F32167" w14:paraId="3AC0B77A" w14:textId="77777777" w:rsidTr="00DA0431">
        <w:tc>
          <w:tcPr>
            <w:tcW w:w="4390" w:type="dxa"/>
          </w:tcPr>
          <w:p w14:paraId="2D1F7531" w14:textId="7F170D14" w:rsidR="00F32167" w:rsidRDefault="00F32167" w:rsidP="00F32167">
            <w:r>
              <w:t>Ajout d’un nouveau champ à l’article 200 CGI</w:t>
            </w:r>
          </w:p>
        </w:tc>
        <w:tc>
          <w:tcPr>
            <w:tcW w:w="2126" w:type="dxa"/>
          </w:tcPr>
          <w:p w14:paraId="2ADFA24F" w14:textId="4BEAACB3" w:rsidR="00F32167" w:rsidRDefault="00F32167" w:rsidP="00F32167">
            <w:r>
              <w:t>Article 16</w:t>
            </w:r>
          </w:p>
        </w:tc>
        <w:tc>
          <w:tcPr>
            <w:tcW w:w="7478" w:type="dxa"/>
          </w:tcPr>
          <w:p w14:paraId="580C5A50" w14:textId="7438A31A" w:rsidR="00F32167" w:rsidRPr="00F32167" w:rsidRDefault="00F32167" w:rsidP="00F32167">
            <w:r>
              <w:t>N</w:t>
            </w:r>
            <w:r w:rsidRPr="00F32167">
              <w:t>ouveau champ ouvrant droit à la réduction d’impôt :</w:t>
            </w:r>
          </w:p>
          <w:p w14:paraId="60626B71" w14:textId="4E119A29" w:rsidR="00F32167" w:rsidRDefault="00F32167" w:rsidP="00F32167">
            <w:r>
              <w:t>« Les o</w:t>
            </w:r>
            <w:r w:rsidRPr="00F32167">
              <w:t>rganismes concourant à l’égalité entre les femmes et les hommes</w:t>
            </w:r>
            <w:r>
              <w:t> »</w:t>
            </w:r>
          </w:p>
        </w:tc>
      </w:tr>
      <w:tr w:rsidR="00F32167" w14:paraId="298C50A0" w14:textId="77777777" w:rsidTr="00DA0431">
        <w:tc>
          <w:tcPr>
            <w:tcW w:w="4390" w:type="dxa"/>
          </w:tcPr>
          <w:p w14:paraId="328020F6" w14:textId="1F6B81FD" w:rsidR="00F32167" w:rsidRPr="00EB54EA" w:rsidRDefault="00F32167" w:rsidP="00DA0431">
            <w:pPr>
              <w:pStyle w:val="Titre3"/>
              <w:outlineLvl w:val="2"/>
              <w:rPr>
                <w:sz w:val="22"/>
                <w:szCs w:val="22"/>
              </w:rPr>
            </w:pPr>
            <w:r w:rsidRPr="00EB54EA">
              <w:rPr>
                <w:color w:val="auto"/>
                <w:sz w:val="22"/>
                <w:szCs w:val="22"/>
              </w:rPr>
              <w:lastRenderedPageBreak/>
              <w:t xml:space="preserve">Fondation du patrimoine </w:t>
            </w:r>
          </w:p>
        </w:tc>
        <w:tc>
          <w:tcPr>
            <w:tcW w:w="2126" w:type="dxa"/>
          </w:tcPr>
          <w:p w14:paraId="2F87D4B7" w14:textId="77777777" w:rsidR="00C8025B" w:rsidRDefault="00C8025B" w:rsidP="00F32167"/>
          <w:p w14:paraId="787D3A6E" w14:textId="3C01E3AA" w:rsidR="00F32167" w:rsidRDefault="00F32167" w:rsidP="00F32167">
            <w:r>
              <w:t>Article 30</w:t>
            </w:r>
          </w:p>
        </w:tc>
        <w:tc>
          <w:tcPr>
            <w:tcW w:w="7478" w:type="dxa"/>
          </w:tcPr>
          <w:p w14:paraId="55E166A4" w14:textId="52AFF912" w:rsidR="00DA0431" w:rsidRPr="00DA0431" w:rsidRDefault="00F32167" w:rsidP="00DA0431">
            <w:pPr>
              <w:jc w:val="both"/>
            </w:pPr>
            <w:r w:rsidRPr="00F32167">
              <w:t>Extension de la réduction d’impôt au taux majoré de 75 % aux dons réalisés au profit de la Fondation du patrimoine</w:t>
            </w:r>
            <w:r w:rsidR="00DA0431">
              <w:t xml:space="preserve"> </w:t>
            </w:r>
            <w:r w:rsidR="00DA0431" w:rsidRPr="00DA0431">
              <w:rPr>
                <w:b/>
                <w:bCs/>
              </w:rPr>
              <w:t>entre le 15 septembre 2023 et le 31 décembre 2025</w:t>
            </w:r>
            <w:r w:rsidR="00DA0431" w:rsidRPr="00DA0431">
              <w:t xml:space="preserve"> </w:t>
            </w:r>
            <w:r w:rsidR="00DA0431">
              <w:t>p</w:t>
            </w:r>
            <w:r w:rsidR="00DA0431" w:rsidRPr="00DA0431">
              <w:t>our les activités d’intérêt général suivantes :</w:t>
            </w:r>
          </w:p>
          <w:p w14:paraId="432B7533" w14:textId="039B6EFF" w:rsidR="00DA0431" w:rsidRPr="00DA0431" w:rsidRDefault="00DA0431" w:rsidP="00DA0431">
            <w:pPr>
              <w:jc w:val="both"/>
            </w:pPr>
            <w:r>
              <w:t xml:space="preserve">  . </w:t>
            </w:r>
            <w:proofErr w:type="gramStart"/>
            <w:r w:rsidRPr="00DA0431">
              <w:t>sauvegarde</w:t>
            </w:r>
            <w:proofErr w:type="gramEnd"/>
            <w:r w:rsidRPr="00DA0431">
              <w:t xml:space="preserve"> du patrimoine local ; </w:t>
            </w:r>
          </w:p>
          <w:p w14:paraId="77378F95" w14:textId="45398058" w:rsidR="00DA0431" w:rsidRDefault="00DA0431" w:rsidP="00DA0431">
            <w:pPr>
              <w:ind w:left="64"/>
              <w:jc w:val="both"/>
            </w:pPr>
            <w:r>
              <w:t xml:space="preserve">  . </w:t>
            </w:r>
            <w:r w:rsidRPr="00DA0431">
              <w:t xml:space="preserve">conservation et restauration du patrimoine </w:t>
            </w:r>
            <w:r>
              <w:t xml:space="preserve"> </w:t>
            </w:r>
            <w:r w:rsidRPr="00DA0431">
              <w:t>immobilier religieux appartenant à des personnes publiques dans les communes de France métropolitaine de moins de 10 000 habitants, dans les communes d’outre-mer de moins de 20 000 habitants ou dans les communes déléguées définies à l’article L. 2113-10 du code général des collectivités territoriales.</w:t>
            </w:r>
          </w:p>
        </w:tc>
      </w:tr>
      <w:tr w:rsidR="00EB54EA" w14:paraId="5838CBE5" w14:textId="77777777" w:rsidTr="00DA0431">
        <w:tc>
          <w:tcPr>
            <w:tcW w:w="4390" w:type="dxa"/>
          </w:tcPr>
          <w:p w14:paraId="57DE3E4D" w14:textId="47C9DE07" w:rsidR="00EB54EA" w:rsidRPr="00EB54EA" w:rsidRDefault="00EB54EA" w:rsidP="00EB54EA">
            <w:pPr>
              <w:pStyle w:val="Titre3"/>
              <w:jc w:val="both"/>
              <w:outlineLvl w:val="2"/>
              <w:rPr>
                <w:sz w:val="22"/>
                <w:szCs w:val="22"/>
              </w:rPr>
            </w:pPr>
            <w:r w:rsidRPr="00EB54EA">
              <w:rPr>
                <w:color w:val="auto"/>
                <w:sz w:val="22"/>
                <w:szCs w:val="22"/>
              </w:rPr>
              <w:t>Organisation sans but lucratif – Conditions cumulative</w:t>
            </w:r>
            <w:r>
              <w:rPr>
                <w:color w:val="auto"/>
                <w:sz w:val="22"/>
                <w:szCs w:val="22"/>
              </w:rPr>
              <w:t>s</w:t>
            </w:r>
            <w:r w:rsidRPr="00EB54EA">
              <w:rPr>
                <w:color w:val="auto"/>
                <w:sz w:val="22"/>
                <w:szCs w:val="22"/>
              </w:rPr>
              <w:t xml:space="preserve"> à réunir pour être considérée comme telle</w:t>
            </w:r>
          </w:p>
        </w:tc>
        <w:tc>
          <w:tcPr>
            <w:tcW w:w="2126" w:type="dxa"/>
          </w:tcPr>
          <w:p w14:paraId="344E6B3E" w14:textId="77777777" w:rsidR="00C8025B" w:rsidRDefault="00C8025B" w:rsidP="00F32167"/>
          <w:p w14:paraId="0408F9C6" w14:textId="08F82FCC" w:rsidR="00EB54EA" w:rsidRDefault="00EB54EA" w:rsidP="00F32167">
            <w:r>
              <w:t>Article 33</w:t>
            </w:r>
          </w:p>
        </w:tc>
        <w:tc>
          <w:tcPr>
            <w:tcW w:w="7478" w:type="dxa"/>
          </w:tcPr>
          <w:p w14:paraId="13C3AFBA" w14:textId="48CD65A2" w:rsidR="00EB54EA" w:rsidRDefault="00EB54EA" w:rsidP="00DA0431">
            <w:pPr>
              <w:jc w:val="both"/>
            </w:pPr>
            <w:r>
              <w:t xml:space="preserve">Conditions décrites et listées dans le chapitre nouveau relatif à </w:t>
            </w:r>
            <w:proofErr w:type="gramStart"/>
            <w:r>
              <w:t xml:space="preserve">l’ </w:t>
            </w:r>
            <w:r w:rsidRPr="00EB54EA">
              <w:t>«</w:t>
            </w:r>
            <w:proofErr w:type="gramEnd"/>
            <w:r w:rsidRPr="00EB54EA">
              <w:t xml:space="preserve"> Imposition minimale mondiale des groupes d’entreprises multinationales et des groupes nationaux</w:t>
            </w:r>
            <w:r w:rsidR="00D02705">
              <w:t>.</w:t>
            </w:r>
          </w:p>
          <w:p w14:paraId="6762E6B0" w14:textId="7BBED1BD" w:rsidR="00EB54EA" w:rsidRPr="00F32167" w:rsidRDefault="00EB54EA" w:rsidP="00DA0431">
            <w:pPr>
              <w:jc w:val="both"/>
            </w:pPr>
          </w:p>
        </w:tc>
      </w:tr>
      <w:tr w:rsidR="00DA0431" w14:paraId="42E2600D" w14:textId="77777777" w:rsidTr="00B7356B">
        <w:tc>
          <w:tcPr>
            <w:tcW w:w="13994" w:type="dxa"/>
            <w:gridSpan w:val="3"/>
          </w:tcPr>
          <w:p w14:paraId="0BF14B4C" w14:textId="09AE815D" w:rsidR="00DA0431" w:rsidRDefault="00DA0431" w:rsidP="00DA0431">
            <w:pPr>
              <w:pStyle w:val="Titre3"/>
              <w:outlineLvl w:val="2"/>
            </w:pPr>
            <w:r>
              <w:t>FRAUDE FISCALE</w:t>
            </w:r>
          </w:p>
        </w:tc>
      </w:tr>
      <w:tr w:rsidR="00DA0431" w14:paraId="3BABFFD4" w14:textId="77777777" w:rsidTr="00DA0431">
        <w:tc>
          <w:tcPr>
            <w:tcW w:w="4390" w:type="dxa"/>
          </w:tcPr>
          <w:p w14:paraId="05AF27CC" w14:textId="2AC7CC29" w:rsidR="00DA0431" w:rsidRDefault="00DA0431" w:rsidP="00F32167">
            <w:r>
              <w:t>Non recouvrement de l’impôt – Personnes ayant aidé les fraudeurs</w:t>
            </w:r>
          </w:p>
        </w:tc>
        <w:tc>
          <w:tcPr>
            <w:tcW w:w="2126" w:type="dxa"/>
          </w:tcPr>
          <w:p w14:paraId="2B9660B4" w14:textId="52902216" w:rsidR="00DA0431" w:rsidRDefault="00DA0431" w:rsidP="00F32167">
            <w:r>
              <w:t>Article 113</w:t>
            </w:r>
          </w:p>
        </w:tc>
        <w:tc>
          <w:tcPr>
            <w:tcW w:w="7478" w:type="dxa"/>
          </w:tcPr>
          <w:p w14:paraId="2F930B17" w14:textId="77777777" w:rsidR="00DA0431" w:rsidRDefault="00DA0431" w:rsidP="00EB54EA">
            <w:pPr>
              <w:jc w:val="both"/>
            </w:pPr>
            <w:r w:rsidRPr="00DA0431">
              <w:t>Sanctions pénales pour les personnes ayant aidé des contribuables à se soustraire à leurs obligations fiscales</w:t>
            </w:r>
          </w:p>
          <w:p w14:paraId="3B2B6062" w14:textId="5B5FE273" w:rsidR="00DA0431" w:rsidRPr="00DA0431" w:rsidRDefault="00DA0431" w:rsidP="00EB54EA">
            <w:pPr>
              <w:jc w:val="both"/>
              <w:rPr>
                <w:i/>
                <w:iCs/>
              </w:rPr>
            </w:pPr>
            <w:r w:rsidRPr="00DA0431">
              <w:rPr>
                <w:i/>
                <w:iCs/>
              </w:rPr>
              <w:t>Faits sanctionnés</w:t>
            </w:r>
            <w:r w:rsidR="00EB54EA" w:rsidRPr="00EB54EA">
              <w:rPr>
                <w:i/>
                <w:iCs/>
              </w:rPr>
              <w:t> :</w:t>
            </w:r>
          </w:p>
          <w:p w14:paraId="0A1D6A32" w14:textId="1E112F9E" w:rsidR="00DA0431" w:rsidRPr="00DA0431" w:rsidRDefault="00DA0431" w:rsidP="00EB54EA">
            <w:pPr>
              <w:ind w:left="175"/>
              <w:jc w:val="both"/>
            </w:pPr>
            <w:proofErr w:type="gramStart"/>
            <w:r w:rsidRPr="00DA0431">
              <w:t>la</w:t>
            </w:r>
            <w:proofErr w:type="gramEnd"/>
            <w:r w:rsidRPr="00DA0431">
              <w:t xml:space="preserve"> mise à disposition, à titre gratuit ou onéreux, d’un ou de plusieurs moyens, services, actes ou instruments juridiques, fiscaux, comptables ou financiers </w:t>
            </w:r>
          </w:p>
          <w:p w14:paraId="257FA46E" w14:textId="77777777" w:rsidR="00DA0431" w:rsidRPr="00DA0431" w:rsidRDefault="00DA0431" w:rsidP="00EB54EA">
            <w:pPr>
              <w:jc w:val="both"/>
            </w:pPr>
            <w:r w:rsidRPr="00DA0431">
              <w:t>S</w:t>
            </w:r>
            <w:r w:rsidRPr="00DA0431">
              <w:rPr>
                <w:i/>
                <w:iCs/>
              </w:rPr>
              <w:t>anctions</w:t>
            </w:r>
          </w:p>
          <w:p w14:paraId="2CD3E681" w14:textId="2D5B582B" w:rsidR="00DA0431" w:rsidRPr="00DA0431" w:rsidRDefault="00EB54EA" w:rsidP="00EB54EA">
            <w:pPr>
              <w:ind w:left="175"/>
              <w:jc w:val="both"/>
            </w:pPr>
            <w:r>
              <w:t xml:space="preserve">. </w:t>
            </w:r>
            <w:proofErr w:type="gramStart"/>
            <w:r w:rsidR="00DA0431" w:rsidRPr="00DA0431">
              <w:t>trois</w:t>
            </w:r>
            <w:proofErr w:type="gramEnd"/>
            <w:r w:rsidR="00DA0431" w:rsidRPr="00DA0431">
              <w:t xml:space="preserve"> ans d’emprisonnement et d’une amende de 250 000 € ;</w:t>
            </w:r>
          </w:p>
          <w:p w14:paraId="43089795" w14:textId="1585CB1A" w:rsidR="00DA0431" w:rsidRDefault="00EB54EA" w:rsidP="00EB54EA">
            <w:pPr>
              <w:ind w:left="175"/>
              <w:jc w:val="both"/>
            </w:pPr>
            <w:r>
              <w:t xml:space="preserve">. </w:t>
            </w:r>
            <w:r w:rsidR="00DA0431" w:rsidRPr="00DA0431">
              <w:t>cinq ans d’emprisonnement et 500 000 € d’amende lorsque la mise à disposition est commise en utilisant un service de communication au public en ligne</w:t>
            </w:r>
            <w:r w:rsidR="00D02705">
              <w:t>.</w:t>
            </w:r>
          </w:p>
        </w:tc>
      </w:tr>
      <w:tr w:rsidR="00DA0431" w14:paraId="44590922" w14:textId="77777777" w:rsidTr="00DA0431">
        <w:tc>
          <w:tcPr>
            <w:tcW w:w="4390" w:type="dxa"/>
          </w:tcPr>
          <w:p w14:paraId="41BCC626" w14:textId="208865C7" w:rsidR="00DA0431" w:rsidRDefault="00DA0431" w:rsidP="00F32167">
            <w:r>
              <w:t>Non recouvrement de l’impôt – Contribuable fraudeur</w:t>
            </w:r>
          </w:p>
        </w:tc>
        <w:tc>
          <w:tcPr>
            <w:tcW w:w="2126" w:type="dxa"/>
          </w:tcPr>
          <w:p w14:paraId="020A8004" w14:textId="404F5EE4" w:rsidR="00DA0431" w:rsidRDefault="00DA0431" w:rsidP="00F32167">
            <w:r>
              <w:t>Article 114</w:t>
            </w:r>
          </w:p>
        </w:tc>
        <w:tc>
          <w:tcPr>
            <w:tcW w:w="7478" w:type="dxa"/>
          </w:tcPr>
          <w:p w14:paraId="66F88C28" w14:textId="77777777" w:rsidR="00DA0431" w:rsidRDefault="00EB54EA" w:rsidP="00F32167">
            <w:r>
              <w:t>Ajout d’une p</w:t>
            </w:r>
            <w:r w:rsidRPr="00EB54EA">
              <w:t xml:space="preserve">eine </w:t>
            </w:r>
            <w:proofErr w:type="gramStart"/>
            <w:r w:rsidRPr="00EB54EA">
              <w:t>complémentaire  pour</w:t>
            </w:r>
            <w:proofErr w:type="gramEnd"/>
            <w:r w:rsidRPr="00EB54EA">
              <w:t xml:space="preserve"> le contribuable qui s’est soustrait ou qui a tenté de se soustraire à l’établissement et au paiement de l’impôt dans les conditions visées à l’article 1741 du CGI</w:t>
            </w:r>
          </w:p>
          <w:p w14:paraId="67DDD59E" w14:textId="2ADDAEC0" w:rsidR="00EB54EA" w:rsidRDefault="00EB54EA" w:rsidP="00EB54EA">
            <w:pPr>
              <w:pStyle w:val="Paragraphedeliste"/>
              <w:numPr>
                <w:ilvl w:val="0"/>
                <w:numId w:val="1"/>
              </w:numPr>
            </w:pPr>
            <w:r w:rsidRPr="00EB54EA">
              <w:t>Suppression du droit à l’octroi d’une réduction d’impôt à l’IR ou à l’IFI pendant 3 ans maximum</w:t>
            </w:r>
            <w:r w:rsidR="00D02705">
              <w:t>.</w:t>
            </w:r>
          </w:p>
        </w:tc>
      </w:tr>
      <w:tr w:rsidR="00C8025B" w14:paraId="35558B77" w14:textId="77777777" w:rsidTr="00DA0431">
        <w:tc>
          <w:tcPr>
            <w:tcW w:w="4390" w:type="dxa"/>
          </w:tcPr>
          <w:p w14:paraId="4C03E698" w14:textId="10D8AFE0" w:rsidR="00C8025B" w:rsidRDefault="00D02705" w:rsidP="00EB54EA">
            <w:pPr>
              <w:pStyle w:val="Titre3"/>
              <w:outlineLvl w:val="2"/>
            </w:pPr>
            <w:proofErr w:type="spellStart"/>
            <w:r>
              <w:lastRenderedPageBreak/>
              <w:t>CONTRÖLE</w:t>
            </w:r>
            <w:proofErr w:type="spellEnd"/>
            <w:r>
              <w:t xml:space="preserve"> DE L’</w:t>
            </w:r>
            <w:proofErr w:type="spellStart"/>
            <w:r>
              <w:t>IMPOT</w:t>
            </w:r>
            <w:proofErr w:type="spellEnd"/>
          </w:p>
          <w:p w14:paraId="400E7C14" w14:textId="36E5C7FC" w:rsidR="00D02705" w:rsidRPr="00D02705" w:rsidRDefault="00D02705" w:rsidP="00D02705">
            <w:pPr>
              <w:pStyle w:val="Titre3"/>
              <w:outlineLvl w:val="2"/>
            </w:pPr>
            <w:r>
              <w:t>Contrôle des reçus fiscaux</w:t>
            </w:r>
          </w:p>
        </w:tc>
        <w:tc>
          <w:tcPr>
            <w:tcW w:w="2126" w:type="dxa"/>
          </w:tcPr>
          <w:p w14:paraId="1316C502" w14:textId="77777777" w:rsidR="00C8025B" w:rsidRDefault="00C8025B" w:rsidP="00F32167"/>
          <w:p w14:paraId="06BAE2C9" w14:textId="10F49C24" w:rsidR="00C8025B" w:rsidRDefault="00C8025B" w:rsidP="00F32167">
            <w:r>
              <w:t>Article 117</w:t>
            </w:r>
          </w:p>
        </w:tc>
        <w:tc>
          <w:tcPr>
            <w:tcW w:w="7478" w:type="dxa"/>
          </w:tcPr>
          <w:p w14:paraId="671C10A0" w14:textId="1631F467" w:rsidR="00D02705" w:rsidRDefault="00D02705" w:rsidP="00D02705">
            <w:pPr>
              <w:jc w:val="both"/>
            </w:pPr>
            <w:r>
              <w:t xml:space="preserve">Possibilité pour l’administration de délocaliser le contrôle des reçus fiscaux (ajout d’un alinéa 2 à l’article </w:t>
            </w:r>
            <w:proofErr w:type="spellStart"/>
            <w:r>
              <w:t>14A</w:t>
            </w:r>
            <w:proofErr w:type="spellEnd"/>
            <w:r>
              <w:t xml:space="preserve"> du livre des procédures fiscales</w:t>
            </w:r>
          </w:p>
          <w:p w14:paraId="624E80AD" w14:textId="77777777" w:rsidR="00D02705" w:rsidRDefault="00D02705" w:rsidP="00D02705">
            <w:pPr>
              <w:jc w:val="both"/>
            </w:pPr>
          </w:p>
          <w:p w14:paraId="6D560B77" w14:textId="1BE4805A" w:rsidR="00D02705" w:rsidRPr="00D02705" w:rsidRDefault="00D02705" w:rsidP="00D02705">
            <w:pPr>
              <w:jc w:val="both"/>
              <w:rPr>
                <w:i/>
                <w:iCs/>
              </w:rPr>
            </w:pPr>
            <w:r w:rsidRPr="00D02705">
              <w:rPr>
                <w:i/>
                <w:iCs/>
              </w:rPr>
              <w:t xml:space="preserve">Article </w:t>
            </w:r>
            <w:proofErr w:type="spellStart"/>
            <w:r w:rsidRPr="00D02705">
              <w:rPr>
                <w:i/>
                <w:iCs/>
              </w:rPr>
              <w:t>14A</w:t>
            </w:r>
            <w:proofErr w:type="spellEnd"/>
            <w:r w:rsidRPr="00D02705">
              <w:rPr>
                <w:i/>
                <w:iCs/>
              </w:rPr>
              <w:t xml:space="preserve"> Livre de procédure fiscale</w:t>
            </w:r>
          </w:p>
          <w:p w14:paraId="1F738889" w14:textId="7DABB6AE" w:rsidR="00D02705" w:rsidRDefault="00D02705" w:rsidP="00D02705">
            <w:pPr>
              <w:jc w:val="both"/>
            </w:pPr>
            <w:r>
              <w:t>« L'administration contrôle sur place, en suivant les règles prévues au présent livre, la régularité de la délivrance des reçus, des attestations ou de tous autres documents par lesquels les organismes bénéficiaires de dons et versements indiquent à un contribuable qu'il est en droit de bénéficier des réductions d'impôt prévues aux articles 200, 238 bis et 978 du code général des impôts.</w:t>
            </w:r>
          </w:p>
          <w:p w14:paraId="2E49B335" w14:textId="77777777" w:rsidR="00D02705" w:rsidRDefault="00D02705" w:rsidP="00D02705">
            <w:pPr>
              <w:jc w:val="both"/>
            </w:pPr>
          </w:p>
          <w:p w14:paraId="4A9AF27D" w14:textId="3B6D4A20" w:rsidR="00C8025B" w:rsidRPr="00EB54EA" w:rsidRDefault="00D02705" w:rsidP="00D02705">
            <w:pPr>
              <w:jc w:val="both"/>
            </w:pPr>
            <w:r>
              <w:t xml:space="preserve">Le contrôle peut également se tenir ou se poursuivre dans tout autre lieu déterminé d'un commun accord entre l'organisme et l'administration. </w:t>
            </w:r>
            <w:proofErr w:type="spellStart"/>
            <w:r>
              <w:t>A</w:t>
            </w:r>
            <w:proofErr w:type="spellEnd"/>
            <w:r>
              <w:t xml:space="preserve"> défaut d'accord, l'administration peut décider de tenir ou de poursuivre le contrôle dans ses locaux</w:t>
            </w:r>
            <w:r w:rsidR="00C8025B" w:rsidRPr="00C8025B">
              <w:t xml:space="preserve"> de ces reçu</w:t>
            </w:r>
            <w:r>
              <w:t>s. »</w:t>
            </w:r>
          </w:p>
        </w:tc>
      </w:tr>
      <w:tr w:rsidR="00DA0431" w14:paraId="62CFF4BC" w14:textId="77777777" w:rsidTr="00DA0431">
        <w:tc>
          <w:tcPr>
            <w:tcW w:w="4390" w:type="dxa"/>
          </w:tcPr>
          <w:p w14:paraId="26C03C10" w14:textId="3556A60A" w:rsidR="00DA0431" w:rsidRDefault="00EB54EA" w:rsidP="00EB54EA">
            <w:pPr>
              <w:pStyle w:val="Titre3"/>
              <w:outlineLvl w:val="2"/>
            </w:pPr>
            <w:r>
              <w:t>TAXE D’HABITATION</w:t>
            </w:r>
          </w:p>
        </w:tc>
        <w:tc>
          <w:tcPr>
            <w:tcW w:w="2126" w:type="dxa"/>
          </w:tcPr>
          <w:p w14:paraId="236A31B6" w14:textId="77777777" w:rsidR="00C8025B" w:rsidRDefault="00C8025B" w:rsidP="00F32167"/>
          <w:p w14:paraId="37CCFC11" w14:textId="6B908C7B" w:rsidR="00DA0431" w:rsidRDefault="00EB54EA" w:rsidP="00F32167">
            <w:r>
              <w:t>Article 146</w:t>
            </w:r>
          </w:p>
        </w:tc>
        <w:tc>
          <w:tcPr>
            <w:tcW w:w="7478" w:type="dxa"/>
          </w:tcPr>
          <w:p w14:paraId="545DBB0C" w14:textId="77777777" w:rsidR="00DA0431" w:rsidRDefault="00EB54EA" w:rsidP="00EB54EA">
            <w:pPr>
              <w:jc w:val="both"/>
            </w:pPr>
            <w:r w:rsidRPr="00EB54EA">
              <w:t>Possibilité d’exonération, par les communes et établissements de coopération intercommunale à fiscalité propre, de la part de taxe d’habitation des locaux meublés non affectés à l’habitation principale détenus par des associations et fondations (hors fondations d’entreprise), répondant aux conditions prévues aux a) ou b) du 1 de l’article 200 du CGI</w:t>
            </w:r>
            <w:r w:rsidR="00D02705">
              <w:t>.</w:t>
            </w:r>
          </w:p>
          <w:p w14:paraId="4DEEF23D" w14:textId="6AC177E0" w:rsidR="00D02705" w:rsidRDefault="00D02705" w:rsidP="00EB54EA">
            <w:pPr>
              <w:jc w:val="both"/>
            </w:pPr>
          </w:p>
        </w:tc>
      </w:tr>
    </w:tbl>
    <w:p w14:paraId="5CB2F80A" w14:textId="77777777" w:rsidR="00F32167" w:rsidRPr="00F32167" w:rsidRDefault="00F32167" w:rsidP="00F32167"/>
    <w:sectPr w:rsidR="00F32167" w:rsidRPr="00F32167" w:rsidSect="00F3216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5A77A8"/>
    <w:multiLevelType w:val="hybridMultilevel"/>
    <w:tmpl w:val="4E8A5964"/>
    <w:lvl w:ilvl="0" w:tplc="5082E31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167"/>
    <w:rsid w:val="00963D5B"/>
    <w:rsid w:val="00C8025B"/>
    <w:rsid w:val="00D02705"/>
    <w:rsid w:val="00DA0431"/>
    <w:rsid w:val="00E51E3C"/>
    <w:rsid w:val="00E84013"/>
    <w:rsid w:val="00EB54EA"/>
    <w:rsid w:val="00F321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8B6B8"/>
  <w15:chartTrackingRefBased/>
  <w15:docId w15:val="{0C242033-34BE-489B-992B-65617BB1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F321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F321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F3216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3216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3216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3216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3216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3216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3216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3216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F3216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F3216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3216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3216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3216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3216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3216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32167"/>
    <w:rPr>
      <w:rFonts w:eastAsiaTheme="majorEastAsia" w:cstheme="majorBidi"/>
      <w:color w:val="272727" w:themeColor="text1" w:themeTint="D8"/>
    </w:rPr>
  </w:style>
  <w:style w:type="paragraph" w:styleId="Titre">
    <w:name w:val="Title"/>
    <w:basedOn w:val="Normal"/>
    <w:next w:val="Normal"/>
    <w:link w:val="TitreCar"/>
    <w:uiPriority w:val="10"/>
    <w:qFormat/>
    <w:rsid w:val="00F321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3216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3216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3216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32167"/>
    <w:pPr>
      <w:spacing w:before="160"/>
      <w:jc w:val="center"/>
    </w:pPr>
    <w:rPr>
      <w:i/>
      <w:iCs/>
      <w:color w:val="404040" w:themeColor="text1" w:themeTint="BF"/>
    </w:rPr>
  </w:style>
  <w:style w:type="character" w:customStyle="1" w:styleId="CitationCar">
    <w:name w:val="Citation Car"/>
    <w:basedOn w:val="Policepardfaut"/>
    <w:link w:val="Citation"/>
    <w:uiPriority w:val="29"/>
    <w:rsid w:val="00F32167"/>
    <w:rPr>
      <w:i/>
      <w:iCs/>
      <w:color w:val="404040" w:themeColor="text1" w:themeTint="BF"/>
    </w:rPr>
  </w:style>
  <w:style w:type="paragraph" w:styleId="Paragraphedeliste">
    <w:name w:val="List Paragraph"/>
    <w:basedOn w:val="Normal"/>
    <w:uiPriority w:val="34"/>
    <w:qFormat/>
    <w:rsid w:val="00F32167"/>
    <w:pPr>
      <w:ind w:left="720"/>
      <w:contextualSpacing/>
    </w:pPr>
  </w:style>
  <w:style w:type="character" w:styleId="Emphaseintense">
    <w:name w:val="Intense Emphasis"/>
    <w:basedOn w:val="Policepardfaut"/>
    <w:uiPriority w:val="21"/>
    <w:qFormat/>
    <w:rsid w:val="00F32167"/>
    <w:rPr>
      <w:i/>
      <w:iCs/>
      <w:color w:val="0F4761" w:themeColor="accent1" w:themeShade="BF"/>
    </w:rPr>
  </w:style>
  <w:style w:type="paragraph" w:styleId="Citationintense">
    <w:name w:val="Intense Quote"/>
    <w:basedOn w:val="Normal"/>
    <w:next w:val="Normal"/>
    <w:link w:val="CitationintenseCar"/>
    <w:uiPriority w:val="30"/>
    <w:qFormat/>
    <w:rsid w:val="00F321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32167"/>
    <w:rPr>
      <w:i/>
      <w:iCs/>
      <w:color w:val="0F4761" w:themeColor="accent1" w:themeShade="BF"/>
    </w:rPr>
  </w:style>
  <w:style w:type="character" w:styleId="Rfrenceintense">
    <w:name w:val="Intense Reference"/>
    <w:basedOn w:val="Policepardfaut"/>
    <w:uiPriority w:val="32"/>
    <w:qFormat/>
    <w:rsid w:val="00F32167"/>
    <w:rPr>
      <w:b/>
      <w:bCs/>
      <w:smallCaps/>
      <w:color w:val="0F4761" w:themeColor="accent1" w:themeShade="BF"/>
      <w:spacing w:val="5"/>
    </w:rPr>
  </w:style>
  <w:style w:type="table" w:styleId="Grilledutableau">
    <w:name w:val="Table Grid"/>
    <w:basedOn w:val="TableauNormal"/>
    <w:uiPriority w:val="39"/>
    <w:rsid w:val="00F32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3483</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 JASSON</dc:creator>
  <cp:keywords/>
  <dc:description/>
  <cp:lastModifiedBy>FREDERIQUE MOROT</cp:lastModifiedBy>
  <cp:revision>2</cp:revision>
  <dcterms:created xsi:type="dcterms:W3CDTF">2024-01-17T10:52:00Z</dcterms:created>
  <dcterms:modified xsi:type="dcterms:W3CDTF">2024-01-17T10:52:00Z</dcterms:modified>
</cp:coreProperties>
</file>